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41" w:rsidRPr="007F6841" w:rsidRDefault="007F6841" w:rsidP="007F6841">
      <w:pPr>
        <w:shd w:val="clear" w:color="auto" w:fill="FFFFFF"/>
        <w:spacing w:before="150" w:after="150"/>
        <w:outlineLvl w:val="0"/>
        <w:rPr>
          <w:rFonts w:ascii="Helvetica" w:eastAsia="Times New Roman" w:hAnsi="Helvetica" w:cs="Times New Roman"/>
          <w:color w:val="000000"/>
          <w:kern w:val="36"/>
          <w:sz w:val="30"/>
          <w:szCs w:val="30"/>
        </w:rPr>
      </w:pPr>
      <w:bookmarkStart w:id="0" w:name="_GoBack"/>
      <w:bookmarkEnd w:id="0"/>
      <w:r w:rsidRPr="007F6841">
        <w:rPr>
          <w:rFonts w:ascii="Helvetica" w:eastAsia="Times New Roman" w:hAnsi="Helvetica" w:cs="Times New Roman"/>
          <w:color w:val="000000"/>
          <w:kern w:val="36"/>
          <w:sz w:val="30"/>
          <w:szCs w:val="30"/>
        </w:rPr>
        <w:t xml:space="preserve">Arrêt n°1101 du 21 novembre 2018 (17-22.777) - Cour de cassation - Première chambre civile - </w:t>
      </w:r>
    </w:p>
    <w:p w:rsidR="007F6841" w:rsidRPr="007F6841" w:rsidRDefault="007F6841" w:rsidP="007F6841">
      <w:pPr>
        <w:shd w:val="clear" w:color="auto" w:fill="FFFFFF"/>
        <w:spacing w:before="225" w:after="225"/>
        <w:outlineLvl w:val="2"/>
        <w:rPr>
          <w:rFonts w:ascii="Helvetica" w:eastAsia="Times New Roman" w:hAnsi="Helvetica" w:cs="Times New Roman"/>
          <w:color w:val="000000"/>
          <w:sz w:val="27"/>
          <w:szCs w:val="27"/>
        </w:rPr>
      </w:pPr>
      <w:r w:rsidRPr="007F6841">
        <w:rPr>
          <w:rFonts w:ascii="Helvetica" w:eastAsia="Times New Roman" w:hAnsi="Helvetica" w:cs="Times New Roman"/>
          <w:color w:val="000000"/>
          <w:sz w:val="27"/>
          <w:szCs w:val="27"/>
        </w:rPr>
        <w:t>Cassation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i/>
          <w:iCs/>
          <w:color w:val="000000"/>
          <w:sz w:val="20"/>
          <w:szCs w:val="20"/>
        </w:rPr>
        <w:t>Demandeur(s) : M. Christian X... et autre(s)</w:t>
      </w:r>
      <w:r w:rsidRPr="007F6841">
        <w:rPr>
          <w:rFonts w:ascii="Helvetica" w:hAnsi="Helvetica" w:cs="Times New Roman"/>
          <w:i/>
          <w:iCs/>
          <w:color w:val="000000"/>
          <w:sz w:val="20"/>
          <w:szCs w:val="20"/>
        </w:rPr>
        <w:br/>
        <w:t>Défendeur(s) : Mme Y... et autre(s)</w:t>
      </w:r>
    </w:p>
    <w:p w:rsidR="007F6841" w:rsidRPr="007F6841" w:rsidRDefault="007F6841" w:rsidP="007F6841">
      <w:pPr>
        <w:spacing w:before="150" w:after="150"/>
        <w:rPr>
          <w:rFonts w:ascii="Times" w:eastAsia="Times New Roman" w:hAnsi="Times" w:cs="Times New Roman"/>
          <w:sz w:val="20"/>
          <w:szCs w:val="20"/>
        </w:rPr>
      </w:pPr>
      <w:r w:rsidRPr="007F6841">
        <w:rPr>
          <w:rFonts w:ascii="Times" w:eastAsia="Times New Roman" w:hAnsi="Times" w:cs="Times New Roman"/>
          <w:sz w:val="20"/>
          <w:szCs w:val="20"/>
        </w:rPr>
        <w:pict>
          <v:rect id="_x0000_i1025" style="width:0;height:0" o:hrstd="t" o:hrnoshade="t" o:hr="t" fillcolor="black" stroked="f"/>
        </w:pic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Attendu, selon l’arrêt attaqué, qu’un jugement a placé M. X... sous curatelle renforcée pour une durée de soixante mois, un mandataire judiciaire à la protection des majeurs étant désigné en qualité de curateur ;</w:t>
      </w:r>
      <w:r w:rsidRPr="007F6841">
        <w:rPr>
          <w:rFonts w:ascii="Helvetica" w:hAnsi="Helvetica" w:cs="Times New Roman"/>
          <w:color w:val="000000"/>
          <w:sz w:val="20"/>
          <w:szCs w:val="20"/>
        </w:rPr>
        <w:br/>
      </w:r>
      <w:r w:rsidRPr="007F6841">
        <w:rPr>
          <w:rFonts w:ascii="Helvetica" w:hAnsi="Helvetica" w:cs="Times New Roman"/>
          <w:b/>
          <w:bCs/>
          <w:color w:val="000000"/>
          <w:sz w:val="20"/>
          <w:szCs w:val="20"/>
        </w:rPr>
        <w:br/>
        <w:t>Sur le premier moyen, ci-après annexé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Attendu que ce moyen n’est manifestement pas de nature à entraîner la cassation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b/>
          <w:bCs/>
          <w:color w:val="000000"/>
          <w:sz w:val="20"/>
          <w:szCs w:val="20"/>
        </w:rPr>
        <w:t>Mais sur le second moyen, pris en sa deuxième branche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Vu les articles 425 et 440 du code civil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Attendu que l’ouverture d’une mesure de protection juridique exige la constatation, par les juges du fond, soit de l’altération des facultés mentales de l’intéressé, soit de l’altération de ses facultés corporelles de nature à empêcher l’expression de sa volonté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Attendu que, pour placer M. X... sous curatelle renforcée, l’arrêt retient qu’il résulte de l’expertise médicale ordonnée avant dire droit que les fonctions cognitives de celui-ci ne sont pas altérées, mais qu’il présente des difficultés d’autonomie physique qu’il minimise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Qu’en se déterminant ainsi, sans préciser si l’altération de ses facultés corporelles empêchait M. X... d’exprimer sa volonté, la cour d’appel n’a pas donné de base légale à sa décision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b/>
          <w:bCs/>
          <w:color w:val="000000"/>
          <w:sz w:val="20"/>
          <w:szCs w:val="20"/>
        </w:rPr>
        <w:t>PAR CES MOTIFS</w:t>
      </w:r>
      <w:r w:rsidRPr="007F6841">
        <w:rPr>
          <w:rFonts w:ascii="Helvetica" w:hAnsi="Helvetica" w:cs="Times New Roman"/>
          <w:color w:val="000000"/>
          <w:sz w:val="20"/>
          <w:szCs w:val="20"/>
        </w:rPr>
        <w:t> et sans qu’il y ait lieu de statuer sur les autres branches du second moyen :</w:t>
      </w:r>
    </w:p>
    <w:p w:rsidR="007F6841" w:rsidRPr="007F6841" w:rsidRDefault="007F6841" w:rsidP="007F6841">
      <w:pPr>
        <w:shd w:val="clear" w:color="auto" w:fill="FFFFFF"/>
        <w:spacing w:after="225"/>
        <w:jc w:val="both"/>
        <w:rPr>
          <w:rFonts w:ascii="Helvetica" w:hAnsi="Helvetica" w:cs="Times New Roman"/>
          <w:color w:val="000000"/>
          <w:sz w:val="20"/>
          <w:szCs w:val="20"/>
        </w:rPr>
      </w:pPr>
      <w:r w:rsidRPr="007F6841">
        <w:rPr>
          <w:rFonts w:ascii="Helvetica" w:hAnsi="Helvetica" w:cs="Times New Roman"/>
          <w:color w:val="000000"/>
          <w:sz w:val="20"/>
          <w:szCs w:val="20"/>
        </w:rPr>
        <w:t>CASSE ET ANNULE, en toutes ses dispositions, l’arrêt rendu le 15 septembre 2016, entre les parties, par la cour d’appel de Nîmes ; remet, en conséquence, la cause et les parties dans l’état où elles se trouvaient avant ledit arrêt et, pour être fait droit, les renvoie devant la cour d’appel de Nîmes, autrement composée ;</w:t>
      </w:r>
    </w:p>
    <w:p w:rsidR="007F6841" w:rsidRPr="007F6841" w:rsidRDefault="007F6841" w:rsidP="007F6841">
      <w:pPr>
        <w:rPr>
          <w:rFonts w:ascii="Times" w:eastAsia="Times New Roman" w:hAnsi="Times" w:cs="Times New Roman"/>
          <w:sz w:val="20"/>
          <w:szCs w:val="20"/>
        </w:rPr>
      </w:pPr>
    </w:p>
    <w:p w:rsidR="00D31CC1" w:rsidRDefault="00D31CC1"/>
    <w:sectPr w:rsidR="00D31CC1" w:rsidSect="00D31C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41"/>
    <w:rsid w:val="007F6841"/>
    <w:rsid w:val="00D31C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825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F6841"/>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7F6841"/>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6841"/>
    <w:rPr>
      <w:rFonts w:ascii="Times" w:hAnsi="Times"/>
      <w:b/>
      <w:bCs/>
      <w:kern w:val="36"/>
      <w:sz w:val="48"/>
      <w:szCs w:val="48"/>
    </w:rPr>
  </w:style>
  <w:style w:type="character" w:customStyle="1" w:styleId="Titre3Car">
    <w:name w:val="Titre 3 Car"/>
    <w:basedOn w:val="Policepardfaut"/>
    <w:link w:val="Titre3"/>
    <w:uiPriority w:val="9"/>
    <w:rsid w:val="007F6841"/>
    <w:rPr>
      <w:rFonts w:ascii="Times" w:hAnsi="Times"/>
      <w:b/>
      <w:bCs/>
      <w:sz w:val="27"/>
      <w:szCs w:val="27"/>
    </w:rPr>
  </w:style>
  <w:style w:type="character" w:customStyle="1" w:styleId="apple-converted-space">
    <w:name w:val="apple-converted-space"/>
    <w:basedOn w:val="Policepardfaut"/>
    <w:rsid w:val="007F6841"/>
  </w:style>
  <w:style w:type="paragraph" w:styleId="NormalWeb">
    <w:name w:val="Normal (Web)"/>
    <w:basedOn w:val="Normal"/>
    <w:uiPriority w:val="99"/>
    <w:semiHidden/>
    <w:unhideWhenUsed/>
    <w:rsid w:val="007F6841"/>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7F6841"/>
    <w:rPr>
      <w:i/>
      <w:iCs/>
    </w:rPr>
  </w:style>
  <w:style w:type="character" w:styleId="lev">
    <w:name w:val="Strong"/>
    <w:basedOn w:val="Policepardfaut"/>
    <w:uiPriority w:val="22"/>
    <w:qFormat/>
    <w:rsid w:val="007F68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F6841"/>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7F6841"/>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6841"/>
    <w:rPr>
      <w:rFonts w:ascii="Times" w:hAnsi="Times"/>
      <w:b/>
      <w:bCs/>
      <w:kern w:val="36"/>
      <w:sz w:val="48"/>
      <w:szCs w:val="48"/>
    </w:rPr>
  </w:style>
  <w:style w:type="character" w:customStyle="1" w:styleId="Titre3Car">
    <w:name w:val="Titre 3 Car"/>
    <w:basedOn w:val="Policepardfaut"/>
    <w:link w:val="Titre3"/>
    <w:uiPriority w:val="9"/>
    <w:rsid w:val="007F6841"/>
    <w:rPr>
      <w:rFonts w:ascii="Times" w:hAnsi="Times"/>
      <w:b/>
      <w:bCs/>
      <w:sz w:val="27"/>
      <w:szCs w:val="27"/>
    </w:rPr>
  </w:style>
  <w:style w:type="character" w:customStyle="1" w:styleId="apple-converted-space">
    <w:name w:val="apple-converted-space"/>
    <w:basedOn w:val="Policepardfaut"/>
    <w:rsid w:val="007F6841"/>
  </w:style>
  <w:style w:type="paragraph" w:styleId="NormalWeb">
    <w:name w:val="Normal (Web)"/>
    <w:basedOn w:val="Normal"/>
    <w:uiPriority w:val="99"/>
    <w:semiHidden/>
    <w:unhideWhenUsed/>
    <w:rsid w:val="007F6841"/>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7F6841"/>
    <w:rPr>
      <w:i/>
      <w:iCs/>
    </w:rPr>
  </w:style>
  <w:style w:type="character" w:styleId="lev">
    <w:name w:val="Strong"/>
    <w:basedOn w:val="Policepardfaut"/>
    <w:uiPriority w:val="22"/>
    <w:qFormat/>
    <w:rsid w:val="007F6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0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1498</Characters>
  <Application>Microsoft Macintosh Word</Application>
  <DocSecurity>0</DocSecurity>
  <Lines>12</Lines>
  <Paragraphs>3</Paragraphs>
  <ScaleCrop>false</ScaleCrop>
  <Company>Collectif les Amis d'Eléonore</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Laloux</dc:creator>
  <cp:keywords/>
  <dc:description/>
  <cp:lastModifiedBy>Emmanuel Laloux</cp:lastModifiedBy>
  <cp:revision>1</cp:revision>
  <dcterms:created xsi:type="dcterms:W3CDTF">2018-12-31T11:04:00Z</dcterms:created>
  <dcterms:modified xsi:type="dcterms:W3CDTF">2018-12-31T11:04:00Z</dcterms:modified>
</cp:coreProperties>
</file>